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147" w:line="280" w:lineRule="exact"/>
        <w:ind w:left="17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ПРАВИТЕЛЬСТВО ИРКУТСКОЙ ОБЛАСТИ</w:t>
      </w:r>
    </w:p>
    <w:p>
      <w:pPr>
        <w:pStyle w:val="Style7"/>
        <w:widowControl w:val="0"/>
        <w:keepNext/>
        <w:keepLines/>
        <w:shd w:val="clear" w:color="auto" w:fill="auto"/>
        <w:bidi w:val="0"/>
        <w:spacing w:before="0" w:after="163" w:line="400" w:lineRule="exact"/>
        <w:ind w:left="0" w:right="640" w:firstLine="0"/>
      </w:pPr>
      <w:bookmarkStart w:id="0" w:name="bookmark0"/>
      <w:r>
        <w:rPr>
          <w:lang w:val="ru-RU" w:eastAsia="ru-RU" w:bidi="ru-RU"/>
          <w:w w:val="100"/>
          <w:color w:val="000000"/>
          <w:position w:val="0"/>
        </w:rPr>
        <w:t>ПОСТАНОВЛЕНИЕ</w:t>
      </w:r>
      <w:bookmarkEnd w:id="0"/>
    </w:p>
    <w:p>
      <w:pPr>
        <w:pStyle w:val="Style9"/>
        <w:tabs>
          <w:tab w:leader="none" w:pos="6927" w:val="left"/>
          <w:tab w:leader="none" w:pos="7532" w:val="left"/>
        </w:tabs>
        <w:widowControl w:val="0"/>
        <w:keepNext w:val="0"/>
        <w:keepLines w:val="0"/>
        <w:shd w:val="clear" w:color="auto" w:fill="auto"/>
        <w:bidi w:val="0"/>
        <w:spacing w:before="0" w:after="166" w:line="260" w:lineRule="exact"/>
        <w:ind w:left="5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16 октября 2024 года</w:t>
        <w:tab/>
      </w:r>
      <w:r>
        <w:rPr>
          <w:lang w:val="ru-RU" w:eastAsia="ru-RU" w:bidi="ru-RU"/>
          <w:vertAlign w:val="subscript"/>
          <w:w w:val="100"/>
          <w:spacing w:val="0"/>
          <w:color w:val="000000"/>
          <w:position w:val="0"/>
        </w:rPr>
        <w:t>№</w:t>
      </w:r>
      <w:r>
        <w:rPr>
          <w:lang w:val="ru-RU" w:eastAsia="ru-RU" w:bidi="ru-RU"/>
          <w:w w:val="100"/>
          <w:spacing w:val="0"/>
          <w:color w:val="000000"/>
          <w:position w:val="0"/>
        </w:rPr>
        <w:tab/>
        <w:t>806-пп</w:t>
      </w:r>
    </w:p>
    <w:p>
      <w:pPr>
        <w:pStyle w:val="Style11"/>
        <w:widowControl w:val="0"/>
        <w:keepNext w:val="0"/>
        <w:keepLines w:val="0"/>
        <w:shd w:val="clear" w:color="auto" w:fill="auto"/>
        <w:bidi w:val="0"/>
        <w:jc w:val="left"/>
        <w:spacing w:before="0" w:after="409" w:line="220" w:lineRule="exact"/>
        <w:ind w:left="45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Иркутск</w:t>
      </w:r>
    </w:p>
    <w:p>
      <w:pPr>
        <w:pStyle w:val="Style13"/>
        <w:widowControl w:val="0"/>
        <w:keepNext/>
        <w:keepLines/>
        <w:shd w:val="clear" w:color="auto" w:fill="auto"/>
        <w:bidi w:val="0"/>
        <w:spacing w:before="0" w:after="0" w:line="280" w:lineRule="exact"/>
        <w:ind w:left="220" w:right="0" w:firstLine="0"/>
      </w:pPr>
      <w:bookmarkStart w:id="1" w:name="bookmark1"/>
      <w:r>
        <w:rPr>
          <w:lang w:val="ru-RU" w:eastAsia="ru-RU" w:bidi="ru-RU"/>
          <w:w w:val="100"/>
          <w:spacing w:val="0"/>
          <w:color w:val="000000"/>
          <w:position w:val="0"/>
        </w:rPr>
        <w:t>Об утверждении Правил охраны жизни людей на водных объектах в</w:t>
      </w:r>
      <w:bookmarkEnd w:id="1"/>
    </w:p>
    <w:p>
      <w:pPr>
        <w:pStyle w:val="Style13"/>
        <w:widowControl w:val="0"/>
        <w:keepNext/>
        <w:keepLines/>
        <w:shd w:val="clear" w:color="auto" w:fill="auto"/>
        <w:bidi w:val="0"/>
        <w:jc w:val="center"/>
        <w:spacing w:before="0" w:after="309" w:line="280" w:lineRule="exact"/>
        <w:ind w:left="20" w:right="0" w:firstLine="0"/>
      </w:pPr>
      <w:bookmarkStart w:id="2" w:name="bookmark2"/>
      <w:r>
        <w:rPr>
          <w:lang w:val="ru-RU" w:eastAsia="ru-RU" w:bidi="ru-RU"/>
          <w:w w:val="100"/>
          <w:spacing w:val="0"/>
          <w:color w:val="000000"/>
          <w:position w:val="0"/>
        </w:rPr>
        <w:t>Иркутской области</w:t>
      </w:r>
      <w:bookmarkEnd w:id="2"/>
    </w:p>
    <w:p>
      <w:pPr>
        <w:pStyle w:val="Style1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В целях обеспечения охраны жизни людей на водных объектах в Иркутской области, в соответствии с пунктом 112 части 1 статьи 44 Федерального закона от 21 декабря 2021 года № 414-ФЗ «Об общих принципах организации публичной власти в субъектах Российской Федерации», руководствуясь частью 4 статьи 66, статьей 67 Устава Иркутской области, Правительство Иркутской области </w:t>
      </w:r>
      <w:r>
        <w:rPr>
          <w:rStyle w:val="CharStyle17"/>
        </w:rPr>
        <w:t>ПОСТАНОВЛЯЕТ:</w:t>
      </w:r>
    </w:p>
    <w:p>
      <w:pPr>
        <w:pStyle w:val="Style15"/>
        <w:numPr>
          <w:ilvl w:val="0"/>
          <w:numId w:val="1"/>
        </w:numPr>
        <w:tabs>
          <w:tab w:leader="none" w:pos="1076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Правила охраны жизни людей на водных объектах в Иркутской области (прилагаются).</w:t>
      </w:r>
    </w:p>
    <w:p>
      <w:pPr>
        <w:pStyle w:val="Style15"/>
        <w:numPr>
          <w:ilvl w:val="0"/>
          <w:numId w:val="1"/>
        </w:numPr>
        <w:tabs>
          <w:tab w:leader="none" w:pos="1071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Настоящее постановление подлежит официальному опубликованию в общественно-политической газете «Областная», сетевом издании «Официальный интернет-портал правовой информации Иркутской области» </w:t>
      </w:r>
      <w:r>
        <w:rPr>
          <w:lang w:val="en-US" w:eastAsia="en-US" w:bidi="en-US"/>
          <w:w w:val="100"/>
          <w:spacing w:val="0"/>
          <w:color w:val="000000"/>
          <w:position w:val="0"/>
        </w:rPr>
        <w:t xml:space="preserve">(ogirk.ru),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а также на «Официальном интернет-портале правовой информации» </w:t>
      </w:r>
      <w:r>
        <w:rPr>
          <w:lang w:val="en-US" w:eastAsia="en-US" w:bidi="en-US"/>
          <w:w w:val="100"/>
          <w:spacing w:val="0"/>
          <w:color w:val="000000"/>
          <w:position w:val="0"/>
        </w:rPr>
        <w:t>(</w:t>
      </w:r>
      <w:r>
        <w:fldChar w:fldCharType="begin"/>
      </w:r>
      <w:r>
        <w:rPr>
          <w:color w:val="000000"/>
        </w:rPr>
        <w:instrText> HYPERLINK "http://www.pravo.gov.ru" </w:instrText>
      </w:r>
      <w:r>
        <w:fldChar w:fldCharType="separate"/>
      </w:r>
      <w:r>
        <w:rPr>
          <w:rStyle w:val="Hyperlink"/>
          <w:lang w:val="en-US" w:eastAsia="en-US" w:bidi="en-US"/>
          <w:w w:val="100"/>
          <w:spacing w:val="0"/>
          <w:position w:val="0"/>
        </w:rPr>
        <w:t>www.pravo.gov.ru</w:t>
      </w:r>
      <w:r>
        <w:fldChar w:fldCharType="end"/>
      </w:r>
      <w:r>
        <w:rPr>
          <w:lang w:val="en-US" w:eastAsia="en-US" w:bidi="en-US"/>
          <w:w w:val="100"/>
          <w:spacing w:val="0"/>
          <w:color w:val="000000"/>
          <w:position w:val="0"/>
        </w:rPr>
        <w:t>).</w:t>
      </w:r>
    </w:p>
    <w:p>
      <w:pPr>
        <w:pStyle w:val="Style15"/>
        <w:numPr>
          <w:ilvl w:val="0"/>
          <w:numId w:val="1"/>
        </w:numPr>
        <w:tabs>
          <w:tab w:leader="none" w:pos="1081" w:val="left"/>
        </w:tabs>
        <w:widowControl w:val="0"/>
        <w:keepNext w:val="0"/>
        <w:keepLines w:val="0"/>
        <w:shd w:val="clear" w:color="auto" w:fill="auto"/>
        <w:bidi w:val="0"/>
        <w:spacing w:before="0" w:after="1022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Настоящее постановление вступает в силу через десять календарных дней после дня его официального опубликования.</w:t>
      </w:r>
    </w:p>
    <w:p>
      <w:pPr>
        <w:pStyle w:val="Style15"/>
        <w:widowControl w:val="0"/>
        <w:keepNext w:val="0"/>
        <w:keepLines w:val="0"/>
        <w:shd w:val="clear" w:color="auto" w:fill="auto"/>
        <w:bidi w:val="0"/>
        <w:spacing w:before="0" w:after="0" w:line="245" w:lineRule="exact"/>
        <w:ind w:left="220" w:right="0" w:firstLine="0"/>
        <w:sectPr>
          <w:footnotePr>
            <w:pos w:val="pageBottom"/>
            <w:numFmt w:val="decimal"/>
            <w:numRestart w:val="continuous"/>
          </w:footnotePr>
          <w:pgSz w:w="11900" w:h="16840"/>
          <w:pgMar w:top="1901" w:left="1728" w:right="938" w:bottom="1901" w:header="0" w:footer="3" w:gutter="0"/>
          <w:rtlGutter w:val="0"/>
          <w:cols w:space="720"/>
          <w:noEndnote/>
          <w:docGrid w:linePitch="360"/>
        </w:sect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97.65pt;margin-top:10.25pt;width:70.8pt;height:15.85pt;z-index:-125829376;mso-wrap-distance-left:85.7pt;mso-wrap-distance-right:5.pt;mso-wrap-distance-bottom:20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60" w:lineRule="exact"/>
                    <w:ind w:left="0" w:right="0" w:firstLine="0"/>
                  </w:pPr>
                  <w:r>
                    <w:rPr>
                      <w:lang w:val="ru-RU" w:eastAsia="ru-RU" w:bidi="ru-RU"/>
                      <w:w w:val="100"/>
                      <w:spacing w:val="0"/>
                      <w:color w:val="000000"/>
                      <w:position w:val="0"/>
                    </w:rPr>
                    <w:t>К.Б. Зайцев</w:t>
                  </w:r>
                </w:p>
              </w:txbxContent>
            </v:textbox>
            <w10:wrap type="square" side="left" anchorx="margin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70.95pt;margin-top:-14.15pt;width:124.8pt;height:68.15pt;z-index:-125829375;mso-wrap-distance-left:85.7pt;mso-wrap-distance-right:5.pt;mso-wrap-distance-bottom:20.pt;mso-position-horizontal-relative:margin">
            <v:imagedata r:id="rId5" r:href="rId6"/>
            <w10:wrap type="square" side="left" anchorx="margin"/>
          </v:shape>
        </w:pict>
      </w:r>
      <w:r>
        <w:rPr>
          <w:lang w:val="ru-RU" w:eastAsia="ru-RU" w:bidi="ru-RU"/>
          <w:w w:val="100"/>
          <w:spacing w:val="0"/>
          <w:color w:val="000000"/>
          <w:position w:val="0"/>
        </w:rPr>
        <w:t>Председатель Правительства Иркутской области</w:t>
      </w:r>
    </w:p>
    <w:p>
      <w:pPr>
        <w:pStyle w:val="Style15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44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УТВЕРЖДЕНЫ постановление Правительства Иркутской области</w:t>
      </w:r>
    </w:p>
    <w:p>
      <w:pPr>
        <w:pStyle w:val="Style9"/>
        <w:widowControl w:val="0"/>
        <w:keepNext w:val="0"/>
        <w:keepLines w:val="0"/>
        <w:shd w:val="clear" w:color="auto" w:fill="auto"/>
        <w:bidi w:val="0"/>
        <w:jc w:val="left"/>
        <w:spacing w:before="0" w:after="609" w:line="260" w:lineRule="exact"/>
        <w:ind w:left="44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 16 октября 2024 года № 806-пп</w:t>
      </w:r>
    </w:p>
    <w:p>
      <w:pPr>
        <w:pStyle w:val="Style13"/>
        <w:widowControl w:val="0"/>
        <w:keepNext/>
        <w:keepLines/>
        <w:shd w:val="clear" w:color="auto" w:fill="auto"/>
        <w:bidi w:val="0"/>
        <w:jc w:val="left"/>
        <w:spacing w:before="0" w:after="0" w:line="326" w:lineRule="exact"/>
        <w:ind w:left="4440" w:right="0" w:firstLine="0"/>
      </w:pPr>
      <w:bookmarkStart w:id="3" w:name="bookmark3"/>
      <w:r>
        <w:rPr>
          <w:lang w:val="ru-RU" w:eastAsia="ru-RU" w:bidi="ru-RU"/>
          <w:w w:val="100"/>
          <w:spacing w:val="0"/>
          <w:color w:val="000000"/>
          <w:position w:val="0"/>
        </w:rPr>
        <w:t>ПРАВИЛА</w:t>
      </w:r>
      <w:bookmarkEnd w:id="3"/>
    </w:p>
    <w:p>
      <w:pPr>
        <w:pStyle w:val="Style13"/>
        <w:widowControl w:val="0"/>
        <w:keepNext/>
        <w:keepLines/>
        <w:shd w:val="clear" w:color="auto" w:fill="auto"/>
        <w:bidi w:val="0"/>
        <w:jc w:val="left"/>
        <w:spacing w:before="0" w:after="337" w:line="326" w:lineRule="exact"/>
        <w:ind w:left="3020" w:right="0"/>
      </w:pPr>
      <w:bookmarkStart w:id="4" w:name="bookmark4"/>
      <w:r>
        <w:rPr>
          <w:lang w:val="ru-RU" w:eastAsia="ru-RU" w:bidi="ru-RU"/>
          <w:w w:val="100"/>
          <w:spacing w:val="0"/>
          <w:color w:val="000000"/>
          <w:position w:val="0"/>
        </w:rPr>
        <w:t>ОХРАНЫ ЖИЗНИ ЛЮДЕЙ НА ВОДНЫХ ОБЪЕКТАХ В ИРКУТСКОЙ ОБЛАСТИ</w:t>
      </w:r>
      <w:bookmarkEnd w:id="4"/>
    </w:p>
    <w:p>
      <w:pPr>
        <w:pStyle w:val="Style13"/>
        <w:widowControl w:val="0"/>
        <w:keepNext/>
        <w:keepLines/>
        <w:shd w:val="clear" w:color="auto" w:fill="auto"/>
        <w:bidi w:val="0"/>
        <w:jc w:val="center"/>
        <w:spacing w:before="0" w:after="253" w:line="280" w:lineRule="exact"/>
        <w:ind w:left="0" w:right="0" w:firstLine="0"/>
      </w:pPr>
      <w:bookmarkStart w:id="5" w:name="bookmark5"/>
      <w:r>
        <w:rPr>
          <w:lang w:val="ru-RU" w:eastAsia="ru-RU" w:bidi="ru-RU"/>
          <w:w w:val="100"/>
          <w:spacing w:val="0"/>
          <w:color w:val="000000"/>
          <w:position w:val="0"/>
        </w:rPr>
        <w:t>Глава 1. Общие положения</w:t>
      </w:r>
      <w:bookmarkEnd w:id="5"/>
    </w:p>
    <w:p>
      <w:pPr>
        <w:pStyle w:val="Style15"/>
        <w:numPr>
          <w:ilvl w:val="0"/>
          <w:numId w:val="3"/>
        </w:numPr>
        <w:tabs>
          <w:tab w:leader="none" w:pos="1407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Настоящие Правила охраны жизни людей на водных объектах в Иркутской области (далее - Правила) разработаны в соответствии с Федеральным законом от 21 декабря 2021 года №414-ФЗ «Об общих принципах организации публичной власти в субъектах Российской Федерации», Уставом Иркутской области.</w:t>
      </w:r>
    </w:p>
    <w:p>
      <w:pPr>
        <w:pStyle w:val="Style15"/>
        <w:numPr>
          <w:ilvl w:val="0"/>
          <w:numId w:val="3"/>
        </w:numPr>
        <w:tabs>
          <w:tab w:leader="none" w:pos="1407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Настоящие Правила определяют требования, предъявляемые к обеспечению безопасности людей на водных объектах в Иркутской области.</w:t>
      </w:r>
    </w:p>
    <w:p>
      <w:pPr>
        <w:pStyle w:val="Style15"/>
        <w:numPr>
          <w:ilvl w:val="0"/>
          <w:numId w:val="3"/>
        </w:numPr>
        <w:tabs>
          <w:tab w:leader="none" w:pos="1407" w:val="left"/>
        </w:tabs>
        <w:widowControl w:val="0"/>
        <w:keepNext w:val="0"/>
        <w:keepLines w:val="0"/>
        <w:shd w:val="clear" w:color="auto" w:fill="auto"/>
        <w:bidi w:val="0"/>
        <w:spacing w:before="0" w:after="296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Поисковые и аварийно-спасательные работы в случае возникновения чрезвычайных ситуаций (происшествий) на водных объектах осуществляются в соответствии с законодательством Российской Федерации, регламентирующим организацию и проведение данного вида работ.</w:t>
      </w:r>
    </w:p>
    <w:p>
      <w:pPr>
        <w:pStyle w:val="Style13"/>
        <w:widowControl w:val="0"/>
        <w:keepNext/>
        <w:keepLines/>
        <w:shd w:val="clear" w:color="auto" w:fill="auto"/>
        <w:bidi w:val="0"/>
        <w:jc w:val="center"/>
        <w:spacing w:before="0" w:after="300" w:line="326" w:lineRule="exact"/>
        <w:ind w:left="0" w:right="0" w:firstLine="0"/>
      </w:pPr>
      <w:bookmarkStart w:id="6" w:name="bookmark6"/>
      <w:r>
        <w:rPr>
          <w:lang w:val="ru-RU" w:eastAsia="ru-RU" w:bidi="ru-RU"/>
          <w:w w:val="100"/>
          <w:spacing w:val="0"/>
          <w:color w:val="000000"/>
          <w:position w:val="0"/>
        </w:rPr>
        <w:t>Глава 2. Требования, предъявляемые к обеспечению</w:t>
        <w:br/>
        <w:t>безопасности людей на водных объектах</w:t>
      </w:r>
      <w:bookmarkEnd w:id="6"/>
    </w:p>
    <w:p>
      <w:pPr>
        <w:pStyle w:val="Style15"/>
        <w:numPr>
          <w:ilvl w:val="0"/>
          <w:numId w:val="3"/>
        </w:numPr>
        <w:tabs>
          <w:tab w:leader="none" w:pos="1407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водных объектах запрещается:</w:t>
      </w:r>
    </w:p>
    <w:p>
      <w:pPr>
        <w:pStyle w:val="Style15"/>
        <w:numPr>
          <w:ilvl w:val="0"/>
          <w:numId w:val="5"/>
        </w:numPr>
        <w:tabs>
          <w:tab w:leader="none" w:pos="1407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купание в местах, не предназначенных для купания и обозначенных знаками безопасности в соответствии с настоящими Правилами;</w:t>
      </w:r>
    </w:p>
    <w:p>
      <w:pPr>
        <w:pStyle w:val="Style15"/>
        <w:numPr>
          <w:ilvl w:val="0"/>
          <w:numId w:val="5"/>
        </w:numPr>
        <w:tabs>
          <w:tab w:leader="none" w:pos="1153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нахождение на участке внутреннего водного пути, предназначенном</w:t>
      </w:r>
    </w:p>
    <w:p>
      <w:pPr>
        <w:pStyle w:val="Style15"/>
        <w:tabs>
          <w:tab w:leader="none" w:pos="1407" w:val="left"/>
          <w:tab w:leader="none" w:pos="2635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для судоходства и обозначенном знаками навигационного оборудования, а также в месте, предназначенном для купания и обозначенном знаками безопасности в соответствии с настоящими Правилами, на средствах активного отдыха на водных объектах (буксируемых средствах (водных лыжах, вейкбордах, «бананах», кругах), парусно-парашютных средствах (буерах,</w:t>
        <w:tab/>
        <w:t>досках</w:t>
        <w:tab/>
        <w:t>для кайтбординга, виндсерфинга), средствах,</w:t>
      </w:r>
    </w:p>
    <w:p>
      <w:pPr>
        <w:pStyle w:val="Style15"/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предназначенных для подводной охоты и дайвинга);</w:t>
      </w:r>
    </w:p>
    <w:p>
      <w:pPr>
        <w:pStyle w:val="Style15"/>
        <w:numPr>
          <w:ilvl w:val="0"/>
          <w:numId w:val="5"/>
        </w:numPr>
        <w:tabs>
          <w:tab w:leader="none" w:pos="1089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выход людей на лед в местах, оборудованных знаком безопасности на водных объектах «Переход по льду (выход на лед) запрещен»;</w:t>
      </w:r>
    </w:p>
    <w:p>
      <w:pPr>
        <w:pStyle w:val="Style15"/>
        <w:numPr>
          <w:ilvl w:val="0"/>
          <w:numId w:val="5"/>
        </w:numPr>
        <w:tabs>
          <w:tab w:leader="none" w:pos="1158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выход людей на лед в период ледостава и разрушения льда;</w:t>
      </w:r>
    </w:p>
    <w:p>
      <w:pPr>
        <w:pStyle w:val="Style15"/>
        <w:numPr>
          <w:ilvl w:val="0"/>
          <w:numId w:val="5"/>
        </w:numPr>
        <w:tabs>
          <w:tab w:leader="none" w:pos="1103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  <w:sectPr>
          <w:pgSz w:w="11900" w:h="16840"/>
          <w:pgMar w:top="1015" w:left="1807" w:right="709" w:bottom="1113" w:header="0" w:footer="3" w:gutter="0"/>
          <w:rtlGutter w:val="0"/>
          <w:cols w:space="720"/>
          <w:noEndnote/>
          <w:docGrid w:linePitch="360"/>
        </w:sectPr>
      </w:pPr>
      <w:r>
        <w:rPr>
          <w:lang w:val="ru-RU" w:eastAsia="ru-RU" w:bidi="ru-RU"/>
          <w:w w:val="100"/>
          <w:spacing w:val="0"/>
          <w:color w:val="000000"/>
          <w:position w:val="0"/>
        </w:rPr>
        <w:t>выезд на лед транспортных средств вне оборудованной в соответствии с требованиями законодательства ледовой переправы, за исключением случаев, установленных пунктом 5 настоящих Правил.</w:t>
      </w:r>
    </w:p>
    <w:p>
      <w:pPr>
        <w:pStyle w:val="Style15"/>
        <w:numPr>
          <w:ilvl w:val="0"/>
          <w:numId w:val="5"/>
        </w:numPr>
        <w:tabs>
          <w:tab w:leader="none" w:pos="1067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проведение мероприятий на водных объектах, в том числе с использованием средств активного отдыха на водных объектах (включая водные аттракционы), спортивных судов, спортивного инвентаря в период обострения гидрологической обстановки, связанной с ухудшением погодных условий (половодье, штормовое предупреждение);</w:t>
      </w:r>
    </w:p>
    <w:p>
      <w:pPr>
        <w:pStyle w:val="Style15"/>
        <w:numPr>
          <w:ilvl w:val="0"/>
          <w:numId w:val="5"/>
        </w:numPr>
        <w:tabs>
          <w:tab w:leader="none" w:pos="1067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использование в качестве средств передвижения на воде (сплава) льдины, а также неприспособленные для этого средства (предметы);</w:t>
      </w:r>
    </w:p>
    <w:p>
      <w:pPr>
        <w:pStyle w:val="Style15"/>
        <w:numPr>
          <w:ilvl w:val="0"/>
          <w:numId w:val="5"/>
        </w:numPr>
        <w:tabs>
          <w:tab w:leader="none" w:pos="1067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нахождение лиц на средствах активного отдыха на водных объектах, в том числе водных аттракционах, без спасательных жилетов в пути следования, при посадке, высадке, стоянке на водном объекте.</w:t>
      </w:r>
    </w:p>
    <w:p>
      <w:pPr>
        <w:pStyle w:val="Style15"/>
        <w:numPr>
          <w:ilvl w:val="0"/>
          <w:numId w:val="3"/>
        </w:numPr>
        <w:tabs>
          <w:tab w:leader="none" w:pos="141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Допускается выезд на лед:</w:t>
      </w:r>
    </w:p>
    <w:p>
      <w:pPr>
        <w:pStyle w:val="Style15"/>
        <w:numPr>
          <w:ilvl w:val="0"/>
          <w:numId w:val="7"/>
        </w:numPr>
        <w:tabs>
          <w:tab w:leader="none" w:pos="141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транспортных средств организаций, осуществляющих водопользование в целях, предусмотренных подпунктом 3 части 2 и подпунктами 1, 3, 8 части 3 статьи 11 Водного кодекса Российской Федерации;</w:t>
      </w:r>
    </w:p>
    <w:p>
      <w:pPr>
        <w:pStyle w:val="Style15"/>
        <w:numPr>
          <w:ilvl w:val="0"/>
          <w:numId w:val="7"/>
        </w:numPr>
        <w:tabs>
          <w:tab w:leader="none" w:pos="1067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транспортных средств органов, служб и организаций, деятельность которых связана с проведением аварийно-спасательных работ, обеспечением безопасности жизни и здоровья людей на водных объектах, охраной окружающей среды, научными исследованиями и гидрологическими изысканиями.</w:t>
      </w:r>
    </w:p>
    <w:p>
      <w:pPr>
        <w:pStyle w:val="Style15"/>
        <w:numPr>
          <w:ilvl w:val="0"/>
          <w:numId w:val="3"/>
        </w:numPr>
        <w:tabs>
          <w:tab w:leader="none" w:pos="141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Движение транспортных средств по льду водного объекта допускается исключительно по оборудованной в соответствии с требованиями законодательства ледовой переправе.</w:t>
      </w:r>
    </w:p>
    <w:p>
      <w:pPr>
        <w:pStyle w:val="Style15"/>
        <w:numPr>
          <w:ilvl w:val="0"/>
          <w:numId w:val="3"/>
        </w:numPr>
        <w:tabs>
          <w:tab w:leader="none" w:pos="141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целях обеспечения безопасности, предотвращения несчастных случаев с людьми на водных объектах водопользователями, лицами, ответственными за проведение работ на водных объектах, органами местного самоуправления муниципальных образований Иркутской области устанавливаются знаки безопасности на водных объектах в доступном для всеобщего обозрения месте.</w:t>
      </w:r>
    </w:p>
    <w:p>
      <w:pPr>
        <w:pStyle w:val="Style15"/>
        <w:numPr>
          <w:ilvl w:val="0"/>
          <w:numId w:val="3"/>
        </w:numPr>
        <w:tabs>
          <w:tab w:leader="none" w:pos="141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Знаки безопасности на водных объектах должны иметь форму прямоугольника с размерами сторон не менее 50 на 60 сантиметров и изготавливаться из досок, фанеры, металлических листов и другого прочного материала.</w:t>
      </w:r>
    </w:p>
    <w:p>
      <w:pPr>
        <w:pStyle w:val="Style15"/>
        <w:numPr>
          <w:ilvl w:val="0"/>
          <w:numId w:val="3"/>
        </w:numPr>
        <w:tabs>
          <w:tab w:leader="none" w:pos="141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Знаки безопасности на водных объектах укрепляются на столбах (деревянных, металлических, железобетонных и др.) высотой не менее 2,5 метра от земли до нижней границы знака.</w:t>
      </w:r>
    </w:p>
    <w:p>
      <w:pPr>
        <w:pStyle w:val="Style15"/>
        <w:numPr>
          <w:ilvl w:val="0"/>
          <w:numId w:val="3"/>
        </w:numPr>
        <w:tabs>
          <w:tab w:leader="none" w:pos="141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pict>
          <v:shape id="_x0000_s1028" type="#_x0000_t202" style="position:absolute;margin-left:3.7pt;margin-top:35.15pt;width:33.1pt;height:13.85pt;z-index:-125829374;mso-wrap-distance-left:5.pt;mso-wrap-distance-right:19.7pt;mso-wrap-distance-bottom:18.75pt;mso-position-horizontal-relative:margin" filled="f" stroked="f">
            <v:textbox style="mso-fit-shape-to-text:t" inset="0,0,0,0">
              <w:txbxContent>
                <w:p>
                  <w:pPr>
                    <w:pStyle w:val="Style11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20" w:lineRule="exact"/>
                    <w:ind w:left="0" w:right="0" w:firstLine="0"/>
                  </w:pPr>
                  <w:r>
                    <w:rPr>
                      <w:rStyle w:val="CharStyle18"/>
                      <w:b/>
                      <w:bCs/>
                    </w:rPr>
                    <w:t>№ п/п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29" type="#_x0000_t202" style="position:absolute;margin-left:56.5pt;margin-top:34.65pt;width:91.7pt;height:13.9pt;z-index:-125829373;mso-wrap-distance-left:5.pt;mso-wrap-distance-right:60.95pt;mso-wrap-distance-bottom:19.25pt;mso-position-horizontal-relative:margin" filled="f" stroked="f">
            <v:textbox style="mso-fit-shape-to-text:t" inset="0,0,0,0">
              <w:txbxContent>
                <w:p>
                  <w:pPr>
                    <w:pStyle w:val="Style11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20" w:lineRule="exact"/>
                    <w:ind w:left="0" w:right="0" w:firstLine="0"/>
                  </w:pPr>
                  <w:r>
                    <w:rPr>
                      <w:rStyle w:val="CharStyle18"/>
                      <w:b/>
                      <w:bCs/>
                    </w:rPr>
                    <w:t>Надпись на знаке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30" type="#_x0000_t202" style="position:absolute;margin-left:209.15pt;margin-top:33.9pt;width:83.75pt;height:13.85pt;z-index:-125829372;mso-wrap-distance-left:5.pt;mso-wrap-distance-right:176.15pt;mso-wrap-distance-bottom:19.95pt;mso-position-horizontal-relative:margin" filled="f" stroked="f">
            <v:textbox style="mso-fit-shape-to-text:t" inset="0,0,0,0">
              <w:txbxContent>
                <w:p>
                  <w:pPr>
                    <w:pStyle w:val="Style11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20" w:lineRule="exact"/>
                    <w:ind w:left="0" w:right="0" w:firstLine="0"/>
                  </w:pPr>
                  <w:r>
                    <w:rPr>
                      <w:rStyle w:val="CharStyle18"/>
                      <w:b/>
                      <w:bCs/>
                    </w:rPr>
                    <w:t>Описание знака</w:t>
                  </w:r>
                </w:p>
              </w:txbxContent>
            </v:textbox>
            <w10:wrap type="topAndBottom" anchorx="margin"/>
          </v:shape>
        </w:pict>
      </w:r>
      <w:r>
        <w:rPr>
          <w:lang w:val="ru-RU" w:eastAsia="ru-RU" w:bidi="ru-RU"/>
          <w:w w:val="100"/>
          <w:spacing w:val="0"/>
          <w:color w:val="000000"/>
          <w:position w:val="0"/>
        </w:rPr>
        <w:t>Содержание знаков безопасности на водных объектах:</w:t>
      </w:r>
      <w:r>
        <w:br w:type="page"/>
      </w:r>
    </w:p>
    <w:tbl>
      <w:tblPr>
        <w:tblOverlap w:val="never"/>
        <w:tblLayout w:type="fixed"/>
        <w:jc w:val="center"/>
      </w:tblPr>
      <w:tblGrid>
        <w:gridCol w:w="1061"/>
        <w:gridCol w:w="3053"/>
        <w:gridCol w:w="5213"/>
      </w:tblGrid>
      <w:tr>
        <w:trPr>
          <w:trHeight w:val="286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22"/>
              </w:rPr>
              <w:t>Место купания (с указанием границ в метрах)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22"/>
              </w:rPr>
              <w:t>На белом фоне в зеленой рамке. Сверху внутри рамки надпись сверху «Место купания». Ниже изображен плывущий человек. Знак укрепляется на столбе белого цвета в месте, предназначенном для купания (с указанием границ в метрах)</w:t>
            </w:r>
          </w:p>
        </w:tc>
      </w:tr>
      <w:tr>
        <w:trPr>
          <w:trHeight w:val="285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Место купания детей (с указанием границ в метрах)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22"/>
              </w:rPr>
              <w:t>На белом фоне в зеленой рамке. Сверху внутри рамки надпись «Место купания детей». Ниже изображены двое детей, стоящих в воде. Знак укрепляется на столбе белого цвета в месте, предназначенном для купания детей и оборудованном специальными ограждениями (с указанием границ в метрах)</w:t>
            </w:r>
          </w:p>
        </w:tc>
      </w:tr>
      <w:tr>
        <w:trPr>
          <w:trHeight w:val="286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22"/>
              </w:rPr>
              <w:t>Место купания животных (с указанием границ в метрах)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22"/>
              </w:rPr>
              <w:t>На белом фоне в зеленой рамке. Сверху внутри рамки надпись «Место купания животных». Ниже изображена плывущая собака. Знак укрепляется на столбе белого цвета в месте, предназначенном для купания животных (с указанием границ в метрах)</w:t>
            </w:r>
          </w:p>
        </w:tc>
      </w:tr>
      <w:tr>
        <w:trPr>
          <w:trHeight w:val="287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Место купания в проруби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На белом фоне в красной рамке. Сверху внутри рамки надпись «Место купания в проруби». Ниже изображен купающийся в проруби человек. Знак укрепляется на столбе белого цвета в месте, специально оборудованном для зимнего купания</w:t>
            </w:r>
          </w:p>
        </w:tc>
      </w:tr>
      <w:tr>
        <w:trPr>
          <w:trHeight w:val="289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Купаться запрещено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5"/>
              <w:framePr w:w="932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На белом фоне в красной рамке, перечеркнутой красной чертой по диагонали с верхнего левого угла. Сверху внутри рамки надпись «Купаться запрещено». Ниже изображен плывущий человек. Знак укрепляется на столбе красного цвета в месте, где купание запрещено</w:t>
            </w:r>
          </w:p>
        </w:tc>
      </w:tr>
    </w:tbl>
    <w:p>
      <w:pPr>
        <w:framePr w:w="9326" w:wrap="notBeside" w:vAnchor="text" w:hAnchor="text" w:xAlign="center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tbl>
      <w:tblPr>
        <w:tblOverlap w:val="never"/>
        <w:tblLayout w:type="fixed"/>
        <w:jc w:val="center"/>
      </w:tblPr>
      <w:tblGrid>
        <w:gridCol w:w="1061"/>
        <w:gridCol w:w="3053"/>
        <w:gridCol w:w="5218"/>
      </w:tblGrid>
      <w:tr>
        <w:trPr>
          <w:trHeight w:val="2837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22"/>
              </w:rPr>
              <w:t>Купаться в проруби запрещено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22"/>
              </w:rPr>
              <w:t>На белом фоне в красной рамке, перечеркнутой красной чертой по диагонали с верхнего левого угла. Сверху внутри рамки надпись «Купаться в проруби запрещено». Ниже изображен купающийся в проруби человек. Знак укрепляется на столбе красного цвета в месте, где купание в проруби запрещено</w:t>
            </w:r>
          </w:p>
        </w:tc>
      </w:tr>
      <w:tr>
        <w:trPr>
          <w:trHeight w:val="285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Движение моторных маломерных судов запрещено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На белом фоне в красной рамке, перечеркнутой красной чертой с верхнего левого угла. Сверху внутри рамки надпись «Движение моторных маломерных судов запрещено». Ниже изображен человек на катере (лодка с подвесным мотором черного цвета). Знак укрепляется на столбе красного цвета в месте, где запрещено движение моторных маломерных судов</w:t>
            </w:r>
          </w:p>
        </w:tc>
      </w:tr>
      <w:tr>
        <w:trPr>
          <w:trHeight w:val="28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Движение лодок запрещено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На белом фоне в красной рамке, перечеркнутой красной чертой с верхнего левого угла. Сверху внутри рамки надпись «Движение лодок запрещено». Ниже изображен человек на лодке. Знак укрепляется на столбе красного цвета в месте, где движение на гребных лодках запрещено</w:t>
            </w:r>
          </w:p>
        </w:tc>
      </w:tr>
      <w:tr>
        <w:trPr>
          <w:trHeight w:val="287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Переход по льду (выход на лед) запрещен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На белом фоне в красной рамке, перечеркнутой красной чертой с верхнего левого угла. Сверху внутри рамки надпись «Переход по льду запрещен», «Выход на лед запрещен». Ниже изображен идущий человек. Знак укрепляется на столбе красного цвета в месте, где переход по льду (выход на лед) запрещен</w:t>
            </w:r>
          </w:p>
        </w:tc>
      </w:tr>
      <w:tr>
        <w:trPr>
          <w:trHeight w:val="290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Выезд на лед (переезд по льду) транспортных средств запрещен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5"/>
              <w:framePr w:w="9331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На белом фоне в красной рамке, перечеркнутой красной чертой с верхнего левого угла. Сверху внутри рамки надпись «Переезд по льду транспортных средств запрещен», «Выезд на лед транспортных средств запрещен». Ниже изображен автомобиль на льду. Знак укрепляется на столбе красного цвета в месте, где выезд (переезд) транспортного средства по льду запрещен</w:t>
            </w:r>
          </w:p>
        </w:tc>
      </w:tr>
    </w:tbl>
    <w:p>
      <w:pPr>
        <w:framePr w:w="9331" w:wrap="notBeside" w:vAnchor="text" w:hAnchor="text" w:xAlign="center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tbl>
      <w:tblPr>
        <w:tblOverlap w:val="never"/>
        <w:tblLayout w:type="fixed"/>
        <w:jc w:val="center"/>
      </w:tblPr>
      <w:tblGrid>
        <w:gridCol w:w="1051"/>
        <w:gridCol w:w="3058"/>
        <w:gridCol w:w="5208"/>
      </w:tblGrid>
      <w:tr>
        <w:trPr>
          <w:trHeight w:val="2842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5"/>
              <w:framePr w:w="9317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5"/>
              <w:framePr w:w="9317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Не создавать волнение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5"/>
              <w:framePr w:w="9317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22"/>
              </w:rPr>
              <w:t>На белом фоне в красной рамке, перечеркнутой красной чертой по диагонали с верхнего левого угла. Сверху внутри рамки надпись «Не создавать волнение». Ниже две волны черного цвета. Знак укрепляется на столбе красного цвета в месте, где создавать волнение запрещено</w:t>
            </w:r>
          </w:p>
        </w:tc>
      </w:tr>
      <w:tr>
        <w:trPr>
          <w:trHeight w:val="257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5"/>
              <w:framePr w:w="9317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5"/>
              <w:framePr w:w="9317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2"/>
              </w:rPr>
              <w:t>Якоря не бросать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5"/>
              <w:framePr w:w="9317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22"/>
              </w:rPr>
              <w:t>На белом фоне в красной рамке, перечеркнутой красной чертой по диагонали с верхнего левого угла. Сверху внутри рамки надпись «Якоря не бросать». Ниже якорь черного цвета. Знак укрепляется на столбе красного цвета в месте, где бросать якорь запрещено</w:t>
            </w:r>
          </w:p>
        </w:tc>
      </w:tr>
    </w:tbl>
    <w:p>
      <w:pPr>
        <w:framePr w:w="9317" w:wrap="notBeside" w:vAnchor="text" w:hAnchor="text" w:xAlign="center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p>
      <w:pPr>
        <w:pStyle w:val="Style13"/>
        <w:widowControl w:val="0"/>
        <w:keepNext/>
        <w:keepLines/>
        <w:shd w:val="clear" w:color="auto" w:fill="auto"/>
        <w:bidi w:val="0"/>
        <w:jc w:val="center"/>
        <w:spacing w:before="236" w:after="300" w:line="326" w:lineRule="exact"/>
        <w:ind w:left="0" w:right="0" w:firstLine="0"/>
      </w:pPr>
      <w:bookmarkStart w:id="7" w:name="bookmark7"/>
      <w:r>
        <w:rPr>
          <w:lang w:val="ru-RU" w:eastAsia="ru-RU" w:bidi="ru-RU"/>
          <w:w w:val="100"/>
          <w:spacing w:val="0"/>
          <w:color w:val="000000"/>
          <w:position w:val="0"/>
        </w:rPr>
        <w:t>Глава 3. Дополнительные требования, предъявляемые к обеспечению</w:t>
        <w:br/>
        <w:t>безопасности детей на водных объектах</w:t>
      </w:r>
      <w:bookmarkEnd w:id="7"/>
    </w:p>
    <w:p>
      <w:pPr>
        <w:pStyle w:val="Style15"/>
        <w:numPr>
          <w:ilvl w:val="0"/>
          <w:numId w:val="3"/>
        </w:numPr>
        <w:tabs>
          <w:tab w:leader="none" w:pos="1404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Купание детей допускается на специально отведенном участке в месте, предназначенном для купания и обозначенном знаками безопасности в соответствии с настоящими Правилами.</w:t>
      </w:r>
    </w:p>
    <w:p>
      <w:pPr>
        <w:pStyle w:val="Style15"/>
        <w:numPr>
          <w:ilvl w:val="0"/>
          <w:numId w:val="3"/>
        </w:numPr>
        <w:tabs>
          <w:tab w:leader="none" w:pos="1404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специально отведенном для купания детей участке запрещается:</w:t>
      </w:r>
    </w:p>
    <w:p>
      <w:pPr>
        <w:pStyle w:val="Style15"/>
        <w:numPr>
          <w:ilvl w:val="0"/>
          <w:numId w:val="9"/>
        </w:numPr>
        <w:tabs>
          <w:tab w:leader="none" w:pos="1087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купание и нахождение посторонних лиц;</w:t>
      </w:r>
    </w:p>
    <w:p>
      <w:pPr>
        <w:pStyle w:val="Style15"/>
        <w:numPr>
          <w:ilvl w:val="0"/>
          <w:numId w:val="9"/>
        </w:numPr>
        <w:tabs>
          <w:tab w:leader="none" w:pos="1057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катание на маломерных судах, гидроциклах, средствах активного отдыха на водных объектах, в том числе водных аттракционах, спортивных судах и других технических средствах и предметах, предназначенных для отдыха и туризма на водных объектах;</w:t>
      </w:r>
    </w:p>
    <w:p>
      <w:pPr>
        <w:pStyle w:val="Style15"/>
        <w:numPr>
          <w:ilvl w:val="0"/>
          <w:numId w:val="9"/>
        </w:numPr>
        <w:tabs>
          <w:tab w:leader="none" w:pos="1062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проведение игр и спортивных мероприятий, не связанных с купанием детей;</w:t>
      </w:r>
    </w:p>
    <w:p>
      <w:pPr>
        <w:pStyle w:val="Style15"/>
        <w:numPr>
          <w:ilvl w:val="0"/>
          <w:numId w:val="9"/>
        </w:numPr>
        <w:tabs>
          <w:tab w:leader="none" w:pos="1052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оставление без присмотра детей независимо от наличия у них навыков плавания.</w:t>
      </w:r>
    </w:p>
    <w:p>
      <w:pPr>
        <w:pStyle w:val="Style15"/>
        <w:numPr>
          <w:ilvl w:val="0"/>
          <w:numId w:val="3"/>
        </w:numPr>
        <w:tabs>
          <w:tab w:leader="none" w:pos="1404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Обучение плаванию и непрерывное наблюдение за детьми осуществляется на специально отведенном для купания детей участке инструкторами по физической культуре, тренерами-преподавателями, педагогическими работниками образовательных организаций или другими лицами, ответственными за осуществление таких действий.</w:t>
      </w:r>
    </w:p>
    <w:p>
      <w:pPr>
        <w:pStyle w:val="Style15"/>
        <w:numPr>
          <w:ilvl w:val="0"/>
          <w:numId w:val="3"/>
        </w:numPr>
        <w:tabs>
          <w:tab w:leader="none" w:pos="1404" w:val="left"/>
        </w:tabs>
        <w:widowControl w:val="0"/>
        <w:keepNext w:val="0"/>
        <w:keepLines w:val="0"/>
        <w:shd w:val="clear" w:color="auto" w:fill="auto"/>
        <w:bidi w:val="0"/>
        <w:spacing w:before="0" w:after="0" w:line="32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организациях, обеспечивающих отдых и оздоровление детей, расположенных в непосредственной (до 1 километра) близости от открытого, общедоступного водного объекта, руководителями этих организаций принимаются следующие меры по обеспечению безопасности:</w:t>
      </w:r>
    </w:p>
    <w:p>
      <w:pPr>
        <w:pStyle w:val="Style15"/>
        <w:numPr>
          <w:ilvl w:val="0"/>
          <w:numId w:val="11"/>
        </w:numPr>
        <w:tabs>
          <w:tab w:leader="none" w:pos="106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правила распорядка организации, обеспечивающей отдых и оздоровление детей, включаются требования о запрете неорганизованного купания;</w:t>
      </w:r>
    </w:p>
    <w:p>
      <w:pPr>
        <w:pStyle w:val="Style15"/>
        <w:numPr>
          <w:ilvl w:val="0"/>
          <w:numId w:val="11"/>
        </w:numPr>
        <w:tabs>
          <w:tab w:leader="none" w:pos="1066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свободный доступ детей к водному объекту предотвращается путем оборудования ограждений со стороны территории организации, обеспечивающей отдых и оздоровление детей;</w:t>
      </w:r>
    </w:p>
    <w:p>
      <w:pPr>
        <w:pStyle w:val="Style15"/>
        <w:numPr>
          <w:ilvl w:val="0"/>
          <w:numId w:val="11"/>
        </w:numPr>
        <w:tabs>
          <w:tab w:leader="none" w:pos="1062" w:val="left"/>
        </w:tabs>
        <w:widowControl w:val="0"/>
        <w:keepNext w:val="0"/>
        <w:keepLines w:val="0"/>
        <w:shd w:val="clear" w:color="auto" w:fill="auto"/>
        <w:bidi w:val="0"/>
        <w:spacing w:before="0" w:after="333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территории, прилегающей к организации, обеспечивающей отдых и оздоровление детей, выставляются информационные щиты (аншлаги) с информацией об опасности и запрете купания (плавания).</w:t>
      </w:r>
    </w:p>
    <w:p>
      <w:pPr>
        <w:pStyle w:val="Style13"/>
        <w:widowControl w:val="0"/>
        <w:keepNext/>
        <w:keepLines/>
        <w:shd w:val="clear" w:color="auto" w:fill="auto"/>
        <w:bidi w:val="0"/>
        <w:jc w:val="left"/>
        <w:spacing w:before="0" w:after="184" w:line="280" w:lineRule="exact"/>
        <w:ind w:left="1260" w:right="0" w:firstLine="0"/>
      </w:pPr>
      <w:bookmarkStart w:id="8" w:name="bookmark8"/>
      <w:r>
        <w:rPr>
          <w:lang w:val="ru-RU" w:eastAsia="ru-RU" w:bidi="ru-RU"/>
          <w:w w:val="100"/>
          <w:spacing w:val="0"/>
          <w:color w:val="000000"/>
          <w:position w:val="0"/>
        </w:rPr>
        <w:t>Глава 4. Ответственность за нарушение настоящих Правил</w:t>
      </w:r>
      <w:bookmarkEnd w:id="8"/>
    </w:p>
    <w:p>
      <w:pPr>
        <w:pStyle w:val="Style15"/>
        <w:numPr>
          <w:ilvl w:val="0"/>
          <w:numId w:val="3"/>
        </w:numPr>
        <w:tabs>
          <w:tab w:leader="none" w:pos="140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Лица, виновные в нарушении требований настоящих Правил, несут ответственность в случаях и порядке, установленных законодательством Российской Федерации и законодательством Иркутской области.</w:t>
      </w:r>
    </w:p>
    <w:p>
      <w:pPr>
        <w:pStyle w:val="Style15"/>
        <w:numPr>
          <w:ilvl w:val="0"/>
          <w:numId w:val="3"/>
        </w:numPr>
        <w:tabs>
          <w:tab w:leader="none" w:pos="140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Привлечение к ответственности за нарушение требований настоящих Правил не освобождает виновных лиц от обязанности устранить допущенное нарушение и возместить причиненный ими вред.</w:t>
      </w:r>
    </w:p>
    <w:sectPr>
      <w:headerReference w:type="default" r:id="rId7"/>
      <w:pgSz w:w="11900" w:h="16840"/>
      <w:pgMar w:top="1015" w:left="1807" w:right="709" w:bottom="1113" w:header="0" w:footer="3" w:gutter="0"/>
      <w:rtlGutter w:val="0"/>
      <w:cols w:space="720"/>
      <w:pgNumType w:start="2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31" type="#_x0000_t202" style="position:absolute;margin-left:322.3pt;margin-top:24.pt;width:5.75pt;height:9.6pt;z-index:-188744064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9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fldSimple w:instr=" PAGE \* MERGEFORMAT ">
                  <w:r>
                    <w:rPr>
                      <w:rStyle w:val="CharStyle21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0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Подпись к картинке Exact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6">
    <w:name w:val="Основной текст (3)_"/>
    <w:basedOn w:val="DefaultParagraphFont"/>
    <w:link w:val="Style5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8">
    <w:name w:val="Заголовок №1_"/>
    <w:basedOn w:val="DefaultParagraphFont"/>
    <w:link w:val="Style7"/>
    <w:rPr>
      <w:b/>
      <w:bCs/>
      <w:i w:val="0"/>
      <w:iCs w:val="0"/>
      <w:u w:val="none"/>
      <w:strike w:val="0"/>
      <w:smallCaps w:val="0"/>
      <w:sz w:val="40"/>
      <w:szCs w:val="40"/>
      <w:rFonts w:ascii="Times New Roman" w:eastAsia="Times New Roman" w:hAnsi="Times New Roman" w:cs="Times New Roman"/>
      <w:spacing w:val="90"/>
    </w:rPr>
  </w:style>
  <w:style w:type="character" w:customStyle="1" w:styleId="CharStyle10">
    <w:name w:val="Основной текст (4)_"/>
    <w:basedOn w:val="DefaultParagraphFont"/>
    <w:link w:val="Style9"/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12">
    <w:name w:val="Основной текст (5)_"/>
    <w:basedOn w:val="DefaultParagraphFont"/>
    <w:link w:val="Style11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14">
    <w:name w:val="Заголовок №2_"/>
    <w:basedOn w:val="DefaultParagraphFont"/>
    <w:link w:val="Style13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6">
    <w:name w:val="Основной текст (2)_"/>
    <w:basedOn w:val="DefaultParagraphFont"/>
    <w:link w:val="Style15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17">
    <w:name w:val="Основной текст (2) + Интервал 3 pt"/>
    <w:basedOn w:val="CharStyle16"/>
    <w:rPr>
      <w:lang w:val="ru-RU" w:eastAsia="ru-RU" w:bidi="ru-RU"/>
      <w:w w:val="100"/>
      <w:spacing w:val="60"/>
      <w:color w:val="000000"/>
      <w:position w:val="0"/>
    </w:rPr>
  </w:style>
  <w:style w:type="character" w:customStyle="1" w:styleId="CharStyle18">
    <w:name w:val="Основной текст (5) Exact"/>
    <w:basedOn w:val="DefaultParagraphFont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20">
    <w:name w:val="Колонтитул_"/>
    <w:basedOn w:val="DefaultParagraphFont"/>
    <w:link w:val="Style19"/>
    <w:rPr>
      <w:b w:val="0"/>
      <w:bCs w:val="0"/>
      <w:i w:val="0"/>
      <w:iCs w:val="0"/>
      <w:u w:val="none"/>
      <w:strike w:val="0"/>
      <w:smallCaps w:val="0"/>
      <w:sz w:val="26"/>
      <w:szCs w:val="26"/>
      <w:rFonts w:ascii="Trebuchet MS" w:eastAsia="Trebuchet MS" w:hAnsi="Trebuchet MS" w:cs="Trebuchet MS"/>
    </w:rPr>
  </w:style>
  <w:style w:type="character" w:customStyle="1" w:styleId="CharStyle21">
    <w:name w:val="Колонтитул"/>
    <w:basedOn w:val="CharStyle20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22">
    <w:name w:val="Основной текст (2) + 11 pt,Полужирный"/>
    <w:basedOn w:val="CharStyle16"/>
    <w:rPr>
      <w:lang w:val="ru-RU" w:eastAsia="ru-RU" w:bidi="ru-RU"/>
      <w:b/>
      <w:bCs/>
      <w:sz w:val="22"/>
      <w:szCs w:val="22"/>
      <w:w w:val="100"/>
      <w:spacing w:val="0"/>
      <w:color w:val="000000"/>
      <w:position w:val="0"/>
    </w:rPr>
  </w:style>
  <w:style w:type="paragraph" w:customStyle="1" w:styleId="Style3">
    <w:name w:val="Подпись к картинке"/>
    <w:basedOn w:val="Normal"/>
    <w:link w:val="CharStyle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5">
    <w:name w:val="Основной текст (3)"/>
    <w:basedOn w:val="Normal"/>
    <w:link w:val="CharStyle6"/>
    <w:pPr>
      <w:widowControl w:val="0"/>
      <w:shd w:val="clear" w:color="auto" w:fill="FFFFFF"/>
      <w:spacing w:after="240"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7">
    <w:name w:val="Заголовок №1"/>
    <w:basedOn w:val="Normal"/>
    <w:link w:val="CharStyle8"/>
    <w:pPr>
      <w:widowControl w:val="0"/>
      <w:shd w:val="clear" w:color="auto" w:fill="FFFFFF"/>
      <w:jc w:val="center"/>
      <w:outlineLvl w:val="0"/>
      <w:spacing w:before="240" w:after="240" w:line="0" w:lineRule="exact"/>
    </w:pPr>
    <w:rPr>
      <w:b/>
      <w:bCs/>
      <w:i w:val="0"/>
      <w:iCs w:val="0"/>
      <w:u w:val="none"/>
      <w:strike w:val="0"/>
      <w:smallCaps w:val="0"/>
      <w:sz w:val="40"/>
      <w:szCs w:val="40"/>
      <w:rFonts w:ascii="Times New Roman" w:eastAsia="Times New Roman" w:hAnsi="Times New Roman" w:cs="Times New Roman"/>
      <w:spacing w:val="90"/>
    </w:rPr>
  </w:style>
  <w:style w:type="paragraph" w:customStyle="1" w:styleId="Style9">
    <w:name w:val="Основной текст (4)"/>
    <w:basedOn w:val="Normal"/>
    <w:link w:val="CharStyle10"/>
    <w:pPr>
      <w:widowControl w:val="0"/>
      <w:shd w:val="clear" w:color="auto" w:fill="FFFFFF"/>
      <w:jc w:val="both"/>
      <w:spacing w:before="240" w:after="240" w:line="0" w:lineRule="exact"/>
    </w:pPr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1">
    <w:name w:val="Основной текст (5)"/>
    <w:basedOn w:val="Normal"/>
    <w:link w:val="CharStyle12"/>
    <w:pPr>
      <w:widowControl w:val="0"/>
      <w:shd w:val="clear" w:color="auto" w:fill="FFFFFF"/>
      <w:spacing w:before="240" w:after="480" w:line="0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13">
    <w:name w:val="Заголовок №2"/>
    <w:basedOn w:val="Normal"/>
    <w:link w:val="CharStyle14"/>
    <w:pPr>
      <w:widowControl w:val="0"/>
      <w:shd w:val="clear" w:color="auto" w:fill="FFFFFF"/>
      <w:jc w:val="both"/>
      <w:outlineLvl w:val="1"/>
      <w:spacing w:before="480" w:after="60" w:line="0" w:lineRule="exact"/>
      <w:ind w:hanging="1660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5">
    <w:name w:val="Основной текст (2)"/>
    <w:basedOn w:val="Normal"/>
    <w:link w:val="CharStyle16"/>
    <w:pPr>
      <w:widowControl w:val="0"/>
      <w:shd w:val="clear" w:color="auto" w:fill="FFFFFF"/>
      <w:jc w:val="both"/>
      <w:spacing w:before="420" w:line="322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9">
    <w:name w:val="Колонтитул"/>
    <w:basedOn w:val="Normal"/>
    <w:link w:val="CharStyle20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rebuchet MS" w:eastAsia="Trebuchet MS" w:hAnsi="Trebuchet MS" w:cs="Trebuchet M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Relationship Id="rId7" Type="http://schemas.openxmlformats.org/officeDocument/2006/relationships/header" Target="header1.xml"/></Relationships>
</file>