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E5C" w:rsidRDefault="00AE2E5C"/>
    <w:tbl>
      <w:tblPr>
        <w:tblW w:w="0" w:type="auto"/>
        <w:tblLook w:val="04A0" w:firstRow="1" w:lastRow="0" w:firstColumn="1" w:lastColumn="0" w:noHBand="0" w:noVBand="1"/>
      </w:tblPr>
      <w:tblGrid>
        <w:gridCol w:w="6868"/>
        <w:gridCol w:w="2487"/>
      </w:tblGrid>
      <w:tr w:rsidR="00AE2E5C">
        <w:tc>
          <w:tcPr>
            <w:tcW w:w="7054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951"/>
              <w:gridCol w:w="1701"/>
            </w:tblGrid>
            <w:tr w:rsidR="00AE2E5C">
              <w:trPr>
                <w:trHeight w:val="1719"/>
              </w:trPr>
              <w:tc>
                <w:tcPr>
                  <w:tcW w:w="7054" w:type="dxa"/>
                  <w:shd w:val="clear" w:color="auto" w:fill="auto"/>
                </w:tcPr>
                <w:p w:rsidR="00AE2E5C" w:rsidRDefault="00AE2E5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E6"/>
                      <w:sz w:val="24"/>
                      <w:szCs w:val="24"/>
                    </w:rPr>
                  </w:pPr>
                </w:p>
                <w:p w:rsidR="00AE2E5C" w:rsidRDefault="00AE2E5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E6"/>
                      <w:sz w:val="24"/>
                      <w:szCs w:val="24"/>
                    </w:rPr>
                  </w:pPr>
                </w:p>
                <w:p w:rsidR="00AE2E5C" w:rsidRDefault="00AE2E5C">
                  <w:pPr>
                    <w:spacing w:after="0" w:line="240" w:lineRule="auto"/>
                    <w:jc w:val="both"/>
                    <w:rPr>
                      <w:rFonts w:ascii="Arial" w:eastAsia="Arial Unicode MS" w:hAnsi="Arial" w:cs="Arial Unicode MS"/>
                      <w:b/>
                      <w:bCs/>
                      <w:color w:val="0000E6"/>
                      <w:sz w:val="24"/>
                      <w:szCs w:val="24"/>
                      <w:u w:color="0B308C"/>
                      <w:lang w:eastAsia="ru-RU"/>
                    </w:rPr>
                  </w:pPr>
                </w:p>
                <w:p w:rsidR="00AE2E5C" w:rsidRDefault="00326A40">
                  <w:pPr>
                    <w:spacing w:after="0" w:line="240" w:lineRule="auto"/>
                    <w:jc w:val="both"/>
                    <w:rPr>
                      <w:rFonts w:ascii="Arial" w:eastAsia="Arial Unicode MS" w:hAnsi="Arial" w:cs="Arial Unicode MS"/>
                      <w:b/>
                      <w:bCs/>
                      <w:color w:val="0000E6"/>
                      <w:sz w:val="24"/>
                      <w:szCs w:val="24"/>
                      <w:u w:color="0B308C"/>
                      <w:lang w:eastAsia="ru-RU"/>
                    </w:rPr>
                  </w:pPr>
                  <w:r>
                    <w:rPr>
                      <w:rFonts w:ascii="Arial" w:eastAsia="Arial Unicode MS" w:hAnsi="Arial" w:cs="Arial Unicode MS"/>
                      <w:b/>
                      <w:bCs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 xml:space="preserve">ПРЕСС-РЕЛИЗ                                                                            </w:t>
                  </w:r>
                </w:p>
                <w:p w:rsidR="00AE2E5C" w:rsidRDefault="00791C63">
                  <w:pPr>
                    <w:spacing w:after="0" w:line="240" w:lineRule="auto"/>
                    <w:jc w:val="both"/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</w:pPr>
                  <w:r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>16</w:t>
                  </w:r>
                  <w:r w:rsidR="00326A40"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 xml:space="preserve"> августа 2022 </w:t>
                  </w:r>
                  <w:r w:rsidR="00326A40">
                    <w:rPr>
                      <w:rFonts w:ascii="Arial" w:eastAsia="Arial Unicode MS" w:hAnsi="Arial" w:cs="Arial Unicode MS"/>
                      <w:noProof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-1905</wp:posOffset>
                            </wp:positionH>
                            <wp:positionV relativeFrom="paragraph">
                              <wp:posOffset>251460</wp:posOffset>
                            </wp:positionV>
                            <wp:extent cx="4506595" cy="0"/>
                            <wp:effectExtent l="0" t="0" r="0" b="0"/>
                            <wp:wrapNone/>
                            <wp:docPr id="1" name="Прямая соединительная линия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45065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5400">
                                      <a:solidFill>
                                        <a:srgbClr val="0000E6"/>
                                      </a:solidFill>
                                      <a:round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      <v:fill on="f" focussize="0,0"/>
                            <v:stroke weight="2pt" color="#0000E6" joinstyle="round"/>
                            <v:imagedata o:title=""/>
                            <o:lock v:ext="edit" aspectratio="f"/>
                          </v:line>
                        </w:pict>
                      </mc:Fallback>
                    </mc:AlternateContent>
                  </w:r>
                  <w:r w:rsidR="00326A40"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517" w:type="dxa"/>
                  <w:shd w:val="clear" w:color="auto" w:fill="auto"/>
                </w:tcPr>
                <w:p w:rsidR="00AE2E5C" w:rsidRDefault="00326A40">
                  <w:pPr>
                    <w:spacing w:before="120" w:after="120" w:line="288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918DD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918DD"/>
                      <w:sz w:val="24"/>
                      <w:szCs w:val="24"/>
                    </w:rPr>
                    <w:t xml:space="preserve">              </w:t>
                  </w:r>
                </w:p>
              </w:tc>
            </w:tr>
          </w:tbl>
          <w:p w:rsidR="00AE2E5C" w:rsidRDefault="00AE2E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17" w:type="dxa"/>
            <w:shd w:val="clear" w:color="auto" w:fill="auto"/>
          </w:tcPr>
          <w:p w:rsidR="00AE2E5C" w:rsidRDefault="00326A40">
            <w:pPr>
              <w:suppressAutoHyphens/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481330</wp:posOffset>
                  </wp:positionH>
                  <wp:positionV relativeFrom="paragraph">
                    <wp:posOffset>46355</wp:posOffset>
                  </wp:positionV>
                  <wp:extent cx="902335" cy="902335"/>
                  <wp:effectExtent l="0" t="0" r="0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335" cy="902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E2E5C" w:rsidRDefault="00326A40">
      <w:pPr>
        <w:spacing w:after="24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Почта России назвала самые читающие районы Приангарья и самые популярные издания</w:t>
      </w:r>
    </w:p>
    <w:p w:rsidR="00AE2E5C" w:rsidRDefault="00326A40">
      <w:pPr>
        <w:spacing w:after="2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 начала 2022 г. жители Иркутской области получили около 150 000 периодических изданий. Из них 85% составляют газеты, 15% — журналы. Объем онлайн-подписки в регионе за первое полугодие вырос на 1</w:t>
      </w:r>
      <w:r w:rsidR="008A6C49"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</w:rPr>
        <w:t>% по сравнению с аналогичным периодом 2021 г</w:t>
      </w:r>
      <w:r w:rsidR="00791C6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с</w:t>
      </w:r>
      <w:r w:rsidR="008A6C49">
        <w:rPr>
          <w:rFonts w:ascii="Times New Roman" w:eastAsia="Calibri" w:hAnsi="Times New Roman" w:cs="Times New Roman"/>
          <w:b/>
          <w:sz w:val="24"/>
          <w:szCs w:val="24"/>
        </w:rPr>
        <w:t xml:space="preserve"> 6 440 </w:t>
      </w:r>
      <w:r>
        <w:rPr>
          <w:rFonts w:ascii="Times New Roman" w:eastAsia="Calibri" w:hAnsi="Times New Roman" w:cs="Times New Roman"/>
          <w:b/>
          <w:sz w:val="24"/>
          <w:szCs w:val="24"/>
        </w:rPr>
        <w:t>до</w:t>
      </w:r>
      <w:r w:rsidR="008A6C49">
        <w:rPr>
          <w:rFonts w:ascii="Times New Roman" w:eastAsia="Calibri" w:hAnsi="Times New Roman" w:cs="Times New Roman"/>
          <w:b/>
          <w:sz w:val="24"/>
          <w:szCs w:val="24"/>
        </w:rPr>
        <w:t xml:space="preserve"> 7 350 экземпляров.</w:t>
      </w:r>
    </w:p>
    <w:p w:rsidR="00AE2E5C" w:rsidRDefault="00326A40">
      <w:pPr>
        <w:spacing w:after="2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65% подписчиков Приангарья — это жители сельской местности. Больше всего</w:t>
      </w:r>
      <w:r w:rsidRPr="008A6C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—</w:t>
      </w:r>
      <w:r w:rsidRPr="008A6C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19 500</w:t>
      </w:r>
      <w:r w:rsidRPr="008A6C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изданий</w:t>
      </w:r>
      <w:r w:rsidRPr="008A6C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—</w:t>
      </w:r>
      <w:r w:rsidRPr="008A6C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выписали жители Братского района. На втором месте Усть-Ордынский район — 17 000 журналов и газет. Замыкает тройку лидеров Черемховский район, здесь жители получили около 14 000 изданий. Активные под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писчики так же проживают в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Боханском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Заларинском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районах, им почтальоны доставили 10 700 и 10 000 изданий соответственно. </w:t>
      </w:r>
    </w:p>
    <w:p w:rsidR="00AE2E5C" w:rsidRDefault="00326A40">
      <w:pPr>
        <w:spacing w:after="2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Лидирующие позиции среди подписных изданий занимают еженедельные федеральные газеты «Комсомольская правда», «Аргументы и факты», «Московский комсомолец», региональная — «Мои года», а также районные газеты «Знамя труда»,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Аларь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и «Ленская правда». Большой популярностью пользуются газеты и журналы для детей — «Маленькие академики», «Непоседы», «Забавные наклейки».</w:t>
      </w:r>
    </w:p>
    <w:p w:rsidR="00AE2E5C" w:rsidRDefault="00326A40">
      <w:pPr>
        <w:spacing w:after="2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«В почтовых отделениях Приангарья представлено более 2 500 наименований печатных изданий, на которые можно подписаться. Из них 68 — это региональная пресса. Газеты и журналы можно выписать даже в другой город, если ваши родители или родственники живут там», — прокомментировала заместитель директора по почтовому бизнесу УФПС Иркутской области Янина Лузгина.</w:t>
      </w:r>
    </w:p>
    <w:p w:rsidR="00AE2E5C" w:rsidRDefault="00326A40">
      <w:pPr>
        <w:spacing w:after="2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Жители области могут оформить подписку на любимое издание на</w:t>
      </w:r>
      <w:r w:rsidRPr="008A6C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один или несколько месяцев с помощью почтальона на дому, в почтовом отделении, дистанционно — на сайте https://podpiska.pochta.ru/ или в мобильном приложении Почты России.</w:t>
      </w:r>
    </w:p>
    <w:p w:rsidR="00AE2E5C" w:rsidRDefault="00326A40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Информационная справка: </w:t>
      </w:r>
      <w:r>
        <w:rPr>
          <w:rFonts w:ascii="Times New Roman" w:eastAsia="Calibri" w:hAnsi="Times New Roman" w:cs="Times New Roman"/>
          <w:i/>
          <w:sz w:val="24"/>
          <w:szCs w:val="24"/>
        </w:rPr>
        <w:t>УФПС Иркутской области включает 16 почтамтов, 733 стационарных отделения, 314 из которых сельские и 13 передвижных, 1 магистральный сортировочный центр и 6 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филиала составляет 56 390 км. Международную и межрегиональную почту по железной дороге доставляют 39 вагонов.</w:t>
      </w:r>
    </w:p>
    <w:sectPr w:rsidR="00AE2E5C">
      <w:footerReference w:type="default" r:id="rId8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451" w:rsidRDefault="00704451">
      <w:pPr>
        <w:spacing w:line="240" w:lineRule="auto"/>
      </w:pPr>
      <w:r>
        <w:separator/>
      </w:r>
    </w:p>
  </w:endnote>
  <w:endnote w:type="continuationSeparator" w:id="0">
    <w:p w:rsidR="00704451" w:rsidRDefault="00704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E5C" w:rsidRDefault="00326A40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 xml:space="preserve">Пресс-служба УФПС Иркутской области </w:t>
    </w:r>
  </w:p>
  <w:p w:rsidR="00AE2E5C" w:rsidRDefault="00326A40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>АО «Почта России»</w:t>
    </w:r>
  </w:p>
  <w:p w:rsidR="00AE2E5C" w:rsidRDefault="00326A40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>т. +7 (3952) 280-680, доб. 2525</w:t>
    </w:r>
  </w:p>
  <w:p w:rsidR="00AE2E5C" w:rsidRDefault="00326A40">
    <w:pPr>
      <w:tabs>
        <w:tab w:val="center" w:pos="4677"/>
        <w:tab w:val="right" w:pos="9355"/>
      </w:tabs>
      <w:suppressAutoHyphens/>
      <w:spacing w:after="200" w:line="240" w:lineRule="auto"/>
      <w:rPr>
        <w:rFonts w:ascii="Times New Roman" w:eastAsia="SimSun" w:hAnsi="Times New Roman" w:cs="Times New Roman"/>
        <w:lang w:eastAsia="ar-SA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>Lebedeva.Olga.A@russianpost.ru</w:t>
    </w:r>
  </w:p>
  <w:p w:rsidR="00AE2E5C" w:rsidRDefault="00AE2E5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451" w:rsidRDefault="00704451">
      <w:pPr>
        <w:spacing w:after="0"/>
      </w:pPr>
      <w:r>
        <w:separator/>
      </w:r>
    </w:p>
  </w:footnote>
  <w:footnote w:type="continuationSeparator" w:id="0">
    <w:p w:rsidR="00704451" w:rsidRDefault="0070445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1A"/>
    <w:rsid w:val="000236C7"/>
    <w:rsid w:val="00026964"/>
    <w:rsid w:val="00056B58"/>
    <w:rsid w:val="00071688"/>
    <w:rsid w:val="000765F5"/>
    <w:rsid w:val="00096998"/>
    <w:rsid w:val="000A086C"/>
    <w:rsid w:val="000A0C32"/>
    <w:rsid w:val="000B2BDC"/>
    <w:rsid w:val="000B3859"/>
    <w:rsid w:val="000C2BC7"/>
    <w:rsid w:val="000D1BDD"/>
    <w:rsid w:val="00130AE6"/>
    <w:rsid w:val="001848BA"/>
    <w:rsid w:val="001A69ED"/>
    <w:rsid w:val="001D2202"/>
    <w:rsid w:val="001F2A76"/>
    <w:rsid w:val="001F2D12"/>
    <w:rsid w:val="00207EF3"/>
    <w:rsid w:val="00234533"/>
    <w:rsid w:val="002B5F11"/>
    <w:rsid w:val="002D1113"/>
    <w:rsid w:val="002D2B0D"/>
    <w:rsid w:val="002D2BDA"/>
    <w:rsid w:val="002E286A"/>
    <w:rsid w:val="002E4F99"/>
    <w:rsid w:val="0030192E"/>
    <w:rsid w:val="00317654"/>
    <w:rsid w:val="00326A40"/>
    <w:rsid w:val="003369C2"/>
    <w:rsid w:val="00372A21"/>
    <w:rsid w:val="003B4953"/>
    <w:rsid w:val="003B646D"/>
    <w:rsid w:val="003C6D43"/>
    <w:rsid w:val="003D06B6"/>
    <w:rsid w:val="003E1AF0"/>
    <w:rsid w:val="003F5BE3"/>
    <w:rsid w:val="0040275C"/>
    <w:rsid w:val="00444C3F"/>
    <w:rsid w:val="004D088E"/>
    <w:rsid w:val="004E08C3"/>
    <w:rsid w:val="004E7525"/>
    <w:rsid w:val="00546FAE"/>
    <w:rsid w:val="00562D87"/>
    <w:rsid w:val="00597EF1"/>
    <w:rsid w:val="005A729E"/>
    <w:rsid w:val="005C43ED"/>
    <w:rsid w:val="005D47D7"/>
    <w:rsid w:val="0060128F"/>
    <w:rsid w:val="00601AE5"/>
    <w:rsid w:val="00603A7E"/>
    <w:rsid w:val="006514F6"/>
    <w:rsid w:val="00660A50"/>
    <w:rsid w:val="006871B8"/>
    <w:rsid w:val="006A150B"/>
    <w:rsid w:val="006B0262"/>
    <w:rsid w:val="00704451"/>
    <w:rsid w:val="007267DD"/>
    <w:rsid w:val="00743C8F"/>
    <w:rsid w:val="007504AB"/>
    <w:rsid w:val="00766630"/>
    <w:rsid w:val="0078051C"/>
    <w:rsid w:val="007859C5"/>
    <w:rsid w:val="00791C63"/>
    <w:rsid w:val="00792B1A"/>
    <w:rsid w:val="007A5E1B"/>
    <w:rsid w:val="007B13DF"/>
    <w:rsid w:val="00802117"/>
    <w:rsid w:val="008265AF"/>
    <w:rsid w:val="008424D0"/>
    <w:rsid w:val="00850FD0"/>
    <w:rsid w:val="00856DD0"/>
    <w:rsid w:val="008727D0"/>
    <w:rsid w:val="008902D4"/>
    <w:rsid w:val="00891185"/>
    <w:rsid w:val="00896042"/>
    <w:rsid w:val="008976C7"/>
    <w:rsid w:val="008A6C49"/>
    <w:rsid w:val="008C62E8"/>
    <w:rsid w:val="008D3E13"/>
    <w:rsid w:val="008E2B6F"/>
    <w:rsid w:val="008F7C90"/>
    <w:rsid w:val="009914DD"/>
    <w:rsid w:val="009E125B"/>
    <w:rsid w:val="009F2B5B"/>
    <w:rsid w:val="009F412A"/>
    <w:rsid w:val="009F4331"/>
    <w:rsid w:val="00A16E3B"/>
    <w:rsid w:val="00A77215"/>
    <w:rsid w:val="00AA2463"/>
    <w:rsid w:val="00AB025E"/>
    <w:rsid w:val="00AE2E5C"/>
    <w:rsid w:val="00B133E0"/>
    <w:rsid w:val="00B85180"/>
    <w:rsid w:val="00B87E29"/>
    <w:rsid w:val="00C1293E"/>
    <w:rsid w:val="00C6679D"/>
    <w:rsid w:val="00CB492F"/>
    <w:rsid w:val="00CD628E"/>
    <w:rsid w:val="00CD6671"/>
    <w:rsid w:val="00CE359A"/>
    <w:rsid w:val="00D154FD"/>
    <w:rsid w:val="00D546E5"/>
    <w:rsid w:val="00DC5CA5"/>
    <w:rsid w:val="00DF0A55"/>
    <w:rsid w:val="00E354E8"/>
    <w:rsid w:val="00E5213C"/>
    <w:rsid w:val="00E54170"/>
    <w:rsid w:val="00EC23DD"/>
    <w:rsid w:val="00ED0A41"/>
    <w:rsid w:val="00F2296D"/>
    <w:rsid w:val="00FA382C"/>
    <w:rsid w:val="00FB2380"/>
    <w:rsid w:val="00FD4E46"/>
    <w:rsid w:val="1D651902"/>
    <w:rsid w:val="436E343B"/>
    <w:rsid w:val="53B776BE"/>
    <w:rsid w:val="762E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DFE723C"/>
  <w15:docId w15:val="{D9503B13-4016-43FA-88FF-14A684D8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</w:style>
  <w:style w:type="paragraph" w:styleId="a9">
    <w:name w:val="annotation subject"/>
    <w:basedOn w:val="a7"/>
    <w:next w:val="a7"/>
    <w:link w:val="aa"/>
    <w:uiPriority w:val="99"/>
    <w:semiHidden/>
    <w:unhideWhenUsed/>
    <w:qFormat/>
    <w:pPr>
      <w:spacing w:line="240" w:lineRule="auto"/>
    </w:pPr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ae">
    <w:name w:val="Нижний колонтитул Знак"/>
    <w:basedOn w:val="a0"/>
    <w:link w:val="ad"/>
    <w:uiPriority w:val="99"/>
    <w:qFormat/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Тема примечания Знак"/>
    <w:basedOn w:val="a8"/>
    <w:link w:val="a9"/>
    <w:uiPriority w:val="99"/>
    <w:semiHidden/>
    <w:rPr>
      <w:rFonts w:asciiTheme="minorHAnsi" w:eastAsiaTheme="minorHAnsi" w:hAnsiTheme="minorHAnsi" w:cstheme="minorBidi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Лебедева Ольга Алексеевна</dc:creator>
  <cp:lastModifiedBy>Лебедева Ольга Алексеевна</cp:lastModifiedBy>
  <cp:revision>2</cp:revision>
  <dcterms:created xsi:type="dcterms:W3CDTF">2022-08-16T06:23:00Z</dcterms:created>
  <dcterms:modified xsi:type="dcterms:W3CDTF">2022-08-16T06:23:00Z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F068E56ECCC04188B6EF5D17D2797B18</vt:lpwstr>
  </property>
</Properties>
</file>